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spacing w:line="62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    明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我公司四川省现代种业发展集团有限公司（以下简称“集团公司”）于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日发布公开征集企业形象标识（</w:t>
      </w:r>
      <w:r>
        <w:rPr>
          <w:rFonts w:ascii="Times New Roman" w:hAnsi="Times New Roman" w:eastAsia="方正仿宋_GBK" w:cs="Times New Roman"/>
          <w:sz w:val="32"/>
          <w:szCs w:val="32"/>
        </w:rPr>
        <w:t>logo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）活动。自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日活动发布至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日征集截止，集团公司共接收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469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件投稿作品，按照活动计划，集团公司将选出入围奖作品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件、优胜奖作品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根据集团公司聘请专家工作安排，专家组评审工作延期至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日进行。</w:t>
      </w:r>
    </w:p>
    <w:p>
      <w:pPr>
        <w:spacing w:line="62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集团公司组织专家组对所有参选作品进行统一评审筛选，但专家组一致认为多数作品与集团公司行业特点、发展理念、远景目标等要求综合体现上存在差距，无法按照活动原计划选出对应数量的获奖作品，所有投稿中仅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件作品符合入围奖标准，没有作品符合优胜奖标准。</w:t>
      </w:r>
    </w:p>
    <w:p>
      <w:pPr>
        <w:spacing w:line="6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集团公司随即对以上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件作品进行了知识产权评估查询，其中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作品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的知识产权存在异议，最终确定专家组评审会筛选出的其余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件作品为本次征集活动的入围奖作品。</w:t>
      </w:r>
    </w:p>
    <w:p>
      <w:pPr>
        <w:spacing w:line="62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特此说明！</w:t>
      </w:r>
    </w:p>
    <w:p>
      <w:pPr>
        <w:spacing w:line="62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20" w:lineRule="exact"/>
        <w:ind w:firstLine="3520" w:firstLineChars="1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四川省现代种业发展集团有限公司</w:t>
      </w:r>
    </w:p>
    <w:p>
      <w:pPr>
        <w:spacing w:line="620" w:lineRule="exact"/>
        <w:ind w:firstLine="4800" w:firstLineChars="1500"/>
        <w:jc w:val="left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701" w:right="1644" w:bottom="1417" w:left="1644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zY2Mjg5YjMwZDM4YmIxODExMTFlZDY0NTFkMTkifQ=="/>
  </w:docVars>
  <w:rsids>
    <w:rsidRoot w:val="448C5F33"/>
    <w:rsid w:val="448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2022-11-11T09:00:00Z</dcterms:created>
  <dc:creator>Seiyi</dc:creator>
  <cp:lastModifiedBy>Seiyi</cp:lastModifiedBy>
  <dcterms:modified xsi:type="dcterms:W3CDTF">2022-11-11T09:00:28Z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A7A5AE57590A41FCB8082EE9122DEB69</vt:lpwstr>
  </property>
</Properties>
</file>